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879" w:rsidRPr="002A2B95" w:rsidRDefault="002A2B95" w:rsidP="00601A5B">
      <w:pPr>
        <w:tabs>
          <w:tab w:val="left" w:pos="960"/>
        </w:tabs>
        <w:spacing w:line="276" w:lineRule="auto"/>
        <w:jc w:val="both"/>
        <w:rPr>
          <w:rFonts w:cs="Times New Roman"/>
          <w:b/>
          <w:sz w:val="24"/>
        </w:rPr>
      </w:pPr>
      <w:r w:rsidRPr="00C606E5">
        <w:rPr>
          <w:rFonts w:ascii="Calibri Light" w:eastAsia="Times New Roman" w:hAnsi="Calibri Light" w:cs="Times New Roman"/>
          <w:b/>
          <w:bCs/>
          <w:szCs w:val="20"/>
        </w:rPr>
        <w:t>DANH MỤC DỰ ÁN TRÊN ĐỊA BÀN CÁC KHU CÔNG NGHIỆP, KHU KINH TẾ CHÂN MÂY - LĂNG CÔ</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43"/>
        <w:gridCol w:w="1471"/>
        <w:gridCol w:w="1158"/>
        <w:gridCol w:w="1073"/>
        <w:gridCol w:w="1784"/>
        <w:gridCol w:w="1717"/>
        <w:gridCol w:w="1604"/>
      </w:tblGrid>
      <w:tr w:rsidR="00BE380F" w:rsidRPr="00BE380F" w:rsidTr="002A2B95">
        <w:trPr>
          <w:trHeight w:val="375"/>
        </w:trPr>
        <w:tc>
          <w:tcPr>
            <w:tcW w:w="283" w:type="pct"/>
            <w:vMerge w:val="restart"/>
            <w:shd w:val="clear" w:color="auto" w:fill="auto"/>
            <w:vAlign w:val="center"/>
            <w:hideMark/>
          </w:tcPr>
          <w:p w:rsidR="002A2B95" w:rsidRPr="00BE380F" w:rsidRDefault="002A2B95" w:rsidP="00013A09">
            <w:pPr>
              <w:spacing w:after="0" w:line="240" w:lineRule="auto"/>
              <w:jc w:val="center"/>
              <w:rPr>
                <w:rFonts w:ascii="Calibri Light" w:eastAsia="Times New Roman" w:hAnsi="Calibri Light" w:cs="Times New Roman"/>
                <w:b/>
                <w:bCs/>
              </w:rPr>
            </w:pPr>
            <w:r w:rsidRPr="00BE380F">
              <w:rPr>
                <w:rFonts w:ascii="Calibri Light" w:eastAsia="Times New Roman" w:hAnsi="Calibri Light" w:cs="Times New Roman"/>
                <w:b/>
                <w:bCs/>
              </w:rPr>
              <w:t>STT</w:t>
            </w:r>
          </w:p>
        </w:tc>
        <w:tc>
          <w:tcPr>
            <w:tcW w:w="788" w:type="pct"/>
            <w:vMerge w:val="restart"/>
            <w:shd w:val="clear" w:color="auto" w:fill="auto"/>
            <w:vAlign w:val="center"/>
            <w:hideMark/>
          </w:tcPr>
          <w:p w:rsidR="002A2B95" w:rsidRPr="00BE380F" w:rsidRDefault="002A2B95" w:rsidP="00013A09">
            <w:pPr>
              <w:spacing w:after="0" w:line="240" w:lineRule="auto"/>
              <w:rPr>
                <w:rFonts w:ascii="Calibri Light" w:eastAsia="Times New Roman" w:hAnsi="Calibri Light" w:cs="Times New Roman"/>
                <w:b/>
                <w:bCs/>
              </w:rPr>
            </w:pPr>
            <w:r w:rsidRPr="00BE380F">
              <w:rPr>
                <w:rFonts w:ascii="Calibri Light" w:eastAsia="Times New Roman" w:hAnsi="Calibri Light" w:cs="Times New Roman"/>
                <w:b/>
                <w:bCs/>
              </w:rPr>
              <w:t xml:space="preserve">Tên công trình/Dự án </w:t>
            </w:r>
          </w:p>
        </w:tc>
        <w:tc>
          <w:tcPr>
            <w:tcW w:w="621" w:type="pct"/>
            <w:vMerge w:val="restart"/>
            <w:shd w:val="clear" w:color="auto" w:fill="auto"/>
            <w:vAlign w:val="center"/>
            <w:hideMark/>
          </w:tcPr>
          <w:p w:rsidR="002A2B95" w:rsidRPr="00BE380F" w:rsidRDefault="002A2B95" w:rsidP="00013A09">
            <w:pPr>
              <w:spacing w:after="0" w:line="240" w:lineRule="auto"/>
              <w:jc w:val="center"/>
              <w:rPr>
                <w:rFonts w:ascii="Calibri Light" w:eastAsia="Times New Roman" w:hAnsi="Calibri Light" w:cs="Times New Roman"/>
                <w:b/>
                <w:bCs/>
              </w:rPr>
            </w:pPr>
            <w:r w:rsidRPr="00BE380F">
              <w:rPr>
                <w:rFonts w:ascii="Calibri Light" w:eastAsia="Times New Roman" w:hAnsi="Calibri Light" w:cs="Times New Roman"/>
                <w:b/>
                <w:bCs/>
              </w:rPr>
              <w:t>Địa điểm</w:t>
            </w:r>
          </w:p>
        </w:tc>
        <w:tc>
          <w:tcPr>
            <w:tcW w:w="575" w:type="pct"/>
            <w:vMerge w:val="restart"/>
            <w:shd w:val="clear" w:color="auto" w:fill="auto"/>
            <w:vAlign w:val="center"/>
            <w:hideMark/>
          </w:tcPr>
          <w:p w:rsidR="002A2B95" w:rsidRPr="00BE380F" w:rsidRDefault="002A2B95" w:rsidP="00013A09">
            <w:pPr>
              <w:spacing w:after="0" w:line="240" w:lineRule="auto"/>
              <w:jc w:val="center"/>
              <w:rPr>
                <w:rFonts w:ascii="Calibri Light" w:eastAsia="Times New Roman" w:hAnsi="Calibri Light" w:cs="Times New Roman"/>
                <w:b/>
                <w:bCs/>
              </w:rPr>
            </w:pPr>
            <w:r w:rsidRPr="00BE380F">
              <w:rPr>
                <w:rFonts w:ascii="Calibri Light" w:eastAsia="Times New Roman" w:hAnsi="Calibri Light" w:cs="Times New Roman"/>
                <w:b/>
                <w:bCs/>
              </w:rPr>
              <w:t>Diện tích  (ha)</w:t>
            </w:r>
          </w:p>
        </w:tc>
        <w:tc>
          <w:tcPr>
            <w:tcW w:w="955" w:type="pct"/>
            <w:vMerge w:val="restart"/>
            <w:shd w:val="clear" w:color="auto" w:fill="auto"/>
            <w:vAlign w:val="center"/>
            <w:hideMark/>
          </w:tcPr>
          <w:p w:rsidR="002A2B95" w:rsidRPr="00BE380F" w:rsidRDefault="002A2B95" w:rsidP="00013A09">
            <w:pPr>
              <w:spacing w:after="0" w:line="240" w:lineRule="auto"/>
              <w:jc w:val="center"/>
              <w:rPr>
                <w:rFonts w:ascii="Calibri Light" w:eastAsia="Times New Roman" w:hAnsi="Calibri Light" w:cs="Times New Roman"/>
                <w:b/>
                <w:bCs/>
              </w:rPr>
            </w:pPr>
            <w:r w:rsidRPr="00BE380F">
              <w:rPr>
                <w:rFonts w:ascii="Calibri Light" w:eastAsia="Times New Roman" w:hAnsi="Calibri Light" w:cs="Times New Roman"/>
                <w:b/>
                <w:bCs/>
              </w:rPr>
              <w:t>Mục tiêu đầu tư</w:t>
            </w:r>
          </w:p>
        </w:tc>
        <w:tc>
          <w:tcPr>
            <w:tcW w:w="919" w:type="pct"/>
            <w:vMerge w:val="restart"/>
            <w:shd w:val="clear" w:color="auto" w:fill="auto"/>
            <w:vAlign w:val="center"/>
            <w:hideMark/>
          </w:tcPr>
          <w:p w:rsidR="002A2B95" w:rsidRPr="00BE380F" w:rsidRDefault="002A2B95" w:rsidP="00013A09">
            <w:pPr>
              <w:spacing w:after="0" w:line="240" w:lineRule="auto"/>
              <w:jc w:val="center"/>
              <w:rPr>
                <w:rFonts w:ascii="Calibri Light" w:eastAsia="Times New Roman" w:hAnsi="Calibri Light" w:cs="Times New Roman"/>
                <w:b/>
                <w:bCs/>
              </w:rPr>
            </w:pPr>
            <w:r w:rsidRPr="00BE380F">
              <w:rPr>
                <w:rFonts w:ascii="Calibri Light" w:eastAsia="Times New Roman" w:hAnsi="Calibri Light" w:cs="Times New Roman"/>
                <w:b/>
                <w:bCs/>
              </w:rPr>
              <w:t>Hình thức đầu tư</w:t>
            </w:r>
          </w:p>
        </w:tc>
        <w:tc>
          <w:tcPr>
            <w:tcW w:w="859" w:type="pct"/>
            <w:vMerge w:val="restart"/>
            <w:shd w:val="clear" w:color="auto" w:fill="auto"/>
            <w:vAlign w:val="center"/>
            <w:hideMark/>
          </w:tcPr>
          <w:p w:rsidR="002A2B95" w:rsidRPr="00BE380F" w:rsidRDefault="002A2B95" w:rsidP="00013A09">
            <w:pPr>
              <w:spacing w:after="0" w:line="240" w:lineRule="auto"/>
              <w:jc w:val="center"/>
              <w:rPr>
                <w:rFonts w:ascii="Calibri Light" w:eastAsia="Times New Roman" w:hAnsi="Calibri Light" w:cs="Times New Roman"/>
                <w:b/>
                <w:bCs/>
              </w:rPr>
            </w:pPr>
            <w:r w:rsidRPr="00BE380F">
              <w:rPr>
                <w:rFonts w:ascii="Calibri Light" w:eastAsia="Times New Roman" w:hAnsi="Calibri Light" w:cs="Times New Roman"/>
                <w:b/>
                <w:bCs/>
              </w:rPr>
              <w:t>Ưu đãi</w:t>
            </w:r>
          </w:p>
        </w:tc>
      </w:tr>
      <w:tr w:rsidR="00BE380F" w:rsidRPr="00BE380F" w:rsidTr="002A2B95">
        <w:trPr>
          <w:trHeight w:val="915"/>
        </w:trPr>
        <w:tc>
          <w:tcPr>
            <w:tcW w:w="283" w:type="pct"/>
            <w:vMerge/>
            <w:vAlign w:val="center"/>
            <w:hideMark/>
          </w:tcPr>
          <w:p w:rsidR="002A2B95" w:rsidRPr="00BE380F" w:rsidRDefault="002A2B95" w:rsidP="00013A09">
            <w:pPr>
              <w:spacing w:after="0" w:line="240" w:lineRule="auto"/>
              <w:rPr>
                <w:rFonts w:ascii="Calibri Light" w:eastAsia="Times New Roman" w:hAnsi="Calibri Light" w:cs="Times New Roman"/>
                <w:b/>
                <w:bCs/>
              </w:rPr>
            </w:pPr>
          </w:p>
        </w:tc>
        <w:tc>
          <w:tcPr>
            <w:tcW w:w="788" w:type="pct"/>
            <w:vMerge/>
            <w:vAlign w:val="center"/>
            <w:hideMark/>
          </w:tcPr>
          <w:p w:rsidR="002A2B95" w:rsidRPr="00BE380F" w:rsidRDefault="002A2B95" w:rsidP="00013A09">
            <w:pPr>
              <w:spacing w:after="0" w:line="240" w:lineRule="auto"/>
              <w:rPr>
                <w:rFonts w:ascii="Calibri Light" w:eastAsia="Times New Roman" w:hAnsi="Calibri Light" w:cs="Times New Roman"/>
                <w:b/>
                <w:bCs/>
              </w:rPr>
            </w:pPr>
          </w:p>
        </w:tc>
        <w:tc>
          <w:tcPr>
            <w:tcW w:w="621" w:type="pct"/>
            <w:vMerge/>
            <w:vAlign w:val="center"/>
            <w:hideMark/>
          </w:tcPr>
          <w:p w:rsidR="002A2B95" w:rsidRPr="00BE380F" w:rsidRDefault="002A2B95" w:rsidP="00013A09">
            <w:pPr>
              <w:spacing w:after="0" w:line="240" w:lineRule="auto"/>
              <w:rPr>
                <w:rFonts w:ascii="Calibri Light" w:eastAsia="Times New Roman" w:hAnsi="Calibri Light" w:cs="Times New Roman"/>
                <w:b/>
                <w:bCs/>
              </w:rPr>
            </w:pPr>
          </w:p>
        </w:tc>
        <w:tc>
          <w:tcPr>
            <w:tcW w:w="575" w:type="pct"/>
            <w:vMerge/>
            <w:vAlign w:val="center"/>
            <w:hideMark/>
          </w:tcPr>
          <w:p w:rsidR="002A2B95" w:rsidRPr="00BE380F" w:rsidRDefault="002A2B95" w:rsidP="00013A09">
            <w:pPr>
              <w:spacing w:after="0" w:line="240" w:lineRule="auto"/>
              <w:rPr>
                <w:rFonts w:ascii="Calibri Light" w:eastAsia="Times New Roman" w:hAnsi="Calibri Light" w:cs="Times New Roman"/>
                <w:b/>
                <w:bCs/>
              </w:rPr>
            </w:pPr>
          </w:p>
        </w:tc>
        <w:tc>
          <w:tcPr>
            <w:tcW w:w="955" w:type="pct"/>
            <w:vMerge/>
            <w:vAlign w:val="center"/>
            <w:hideMark/>
          </w:tcPr>
          <w:p w:rsidR="002A2B95" w:rsidRPr="00BE380F" w:rsidRDefault="002A2B95" w:rsidP="00013A09">
            <w:pPr>
              <w:spacing w:after="0" w:line="240" w:lineRule="auto"/>
              <w:rPr>
                <w:rFonts w:ascii="Calibri Light" w:eastAsia="Times New Roman" w:hAnsi="Calibri Light" w:cs="Times New Roman"/>
                <w:b/>
                <w:bCs/>
              </w:rPr>
            </w:pPr>
          </w:p>
        </w:tc>
        <w:tc>
          <w:tcPr>
            <w:tcW w:w="919" w:type="pct"/>
            <w:vMerge/>
            <w:vAlign w:val="center"/>
            <w:hideMark/>
          </w:tcPr>
          <w:p w:rsidR="002A2B95" w:rsidRPr="00BE380F" w:rsidRDefault="002A2B95" w:rsidP="00013A09">
            <w:pPr>
              <w:spacing w:after="0" w:line="240" w:lineRule="auto"/>
              <w:rPr>
                <w:rFonts w:ascii="Calibri Light" w:eastAsia="Times New Roman" w:hAnsi="Calibri Light" w:cs="Times New Roman"/>
                <w:b/>
                <w:bCs/>
              </w:rPr>
            </w:pPr>
          </w:p>
        </w:tc>
        <w:tc>
          <w:tcPr>
            <w:tcW w:w="859" w:type="pct"/>
            <w:vMerge/>
            <w:vAlign w:val="center"/>
            <w:hideMark/>
          </w:tcPr>
          <w:p w:rsidR="002A2B95" w:rsidRPr="00BE380F" w:rsidRDefault="002A2B95" w:rsidP="00013A09">
            <w:pPr>
              <w:spacing w:after="0" w:line="240" w:lineRule="auto"/>
              <w:rPr>
                <w:rFonts w:ascii="Calibri Light" w:eastAsia="Times New Roman" w:hAnsi="Calibri Light" w:cs="Times New Roman"/>
                <w:b/>
                <w:bCs/>
              </w:rPr>
            </w:pPr>
          </w:p>
        </w:tc>
      </w:tr>
      <w:tr w:rsidR="00BE380F" w:rsidRPr="00BE380F" w:rsidTr="002A2B95">
        <w:trPr>
          <w:trHeight w:val="2618"/>
        </w:trPr>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1</w:t>
            </w:r>
          </w:p>
        </w:tc>
        <w:tc>
          <w:tcPr>
            <w:tcW w:w="788"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Dự án Khu du lịch biển Lăng Cô - đầm Lập An</w:t>
            </w:r>
          </w:p>
        </w:tc>
        <w:tc>
          <w:tcPr>
            <w:tcW w:w="621"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Thị trấn Lăng Cô, huyện Phú Lộc</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Khoảng 126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 xml:space="preserve">Xây dựng khu du lịch, nghỉ dưỡng cao cấp đạt tiêu chuẩn 4 - 5 sao </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6"/>
                <w:szCs w:val="20"/>
              </w:rPr>
            </w:pPr>
            <w:r w:rsidRPr="00BE380F">
              <w:rPr>
                <w:rFonts w:ascii="Calibri Light" w:eastAsia="Times New Roman" w:hAnsi="Calibri Light" w:cs="Times New Roman"/>
                <w:sz w:val="16"/>
                <w:szCs w:val="20"/>
              </w:rPr>
              <w:t>Đầu tư trong nước hoặc nước ngoài, sau 30 ngày công bố thông tin và tiêu chí lựa chọn nhà đầu tư, nếu chỉ có 01 nhà đầu tư quan tâm, thực hiện cấp Quyết định chủ trương đầu tư theo quy định; nếu có trên 01 nhà đầu tư quan tâm, thực hiện lựa chọn nhà đầu tư dự án theo quy định.</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br/>
              <w:t>Được miễn tiền thuê đất 13 năm sau thời gian miễn tiền thuê đất của thời gian xây dựng cơ bản.</w:t>
            </w:r>
          </w:p>
        </w:tc>
      </w:tr>
      <w:tr w:rsidR="00BE380F" w:rsidRPr="00BE380F" w:rsidTr="002A2B95">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2</w:t>
            </w:r>
          </w:p>
        </w:tc>
        <w:tc>
          <w:tcPr>
            <w:tcW w:w="788"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Dự án khu du lịch sinh thái Bãi Cả</w:t>
            </w:r>
          </w:p>
        </w:tc>
        <w:tc>
          <w:tcPr>
            <w:tcW w:w="621"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Thị trấn Lăng Cô, huyện Phú Lộc</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Khoảng 212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Xây dựng khu du lịch, nghỉ dưỡng đạt tiêu chuẩn 4 -5 sao</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6"/>
                <w:szCs w:val="20"/>
              </w:rPr>
            </w:pPr>
            <w:r w:rsidRPr="00BE380F">
              <w:rPr>
                <w:rFonts w:ascii="Calibri Light" w:eastAsia="Times New Roman" w:hAnsi="Calibri Light" w:cs="Times New Roman"/>
                <w:sz w:val="16"/>
                <w:szCs w:val="20"/>
              </w:rPr>
              <w:t>Đầu tư trong nước, sau 30 ngày công bố thông tin và tiêu chí lựa chọn nhà đầu tư, nếu chỉ có 01 nhà đầu tư quan tâm, thực hiện cấp Quyết định chủ trương đầu tư theo quy định; nếu có trên 01 nhà đầu tư quan tâm, thực hiện lựa chọn nhà đầu tư dự</w:t>
            </w:r>
            <w:r w:rsidR="00BE380F" w:rsidRPr="00BE380F">
              <w:rPr>
                <w:rFonts w:ascii="Calibri Light" w:eastAsia="Times New Roman" w:hAnsi="Calibri Light" w:cs="Times New Roman"/>
                <w:sz w:val="16"/>
                <w:szCs w:val="20"/>
              </w:rPr>
              <w:t xml:space="preserve"> án</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br/>
              <w:t>Được miễn tiền thuê đất 13 năm sau thời gian miễn tiền thuê đất của thời gian xây dựng cơ bản.</w:t>
            </w:r>
          </w:p>
        </w:tc>
      </w:tr>
      <w:tr w:rsidR="00BE380F" w:rsidRPr="00BE380F" w:rsidTr="002A2B95">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3</w:t>
            </w:r>
          </w:p>
        </w:tc>
        <w:tc>
          <w:tcPr>
            <w:tcW w:w="788"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Dự án Câu lạc bộ Thủy thủ Cảng Chân Mây</w:t>
            </w:r>
          </w:p>
        </w:tc>
        <w:tc>
          <w:tcPr>
            <w:tcW w:w="621"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Xã Lộc Vĩnh, huyện Phú Lộc</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Khoảng 0,5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Đầu tư xây dựng câu lạc bộ thủy thủ Chân Mây phục vụ khách du lịch và thủy thủ.</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6"/>
                <w:szCs w:val="20"/>
              </w:rPr>
            </w:pPr>
            <w:r w:rsidRPr="00BE380F">
              <w:rPr>
                <w:rFonts w:ascii="Calibri Light" w:eastAsia="Times New Roman" w:hAnsi="Calibri Light" w:cs="Times New Roman"/>
                <w:sz w:val="16"/>
                <w:szCs w:val="20"/>
              </w:rPr>
              <w:t>Đầu tư trong nước, nước ngoài,  sau 30 ngày công bố thông tin và tiêu chí lựa chọn nhà đầu tư, nếu chỉ có 01 nhà đầu tư quan tâm, thực hiện cấp Quyết định chủ trương đầu tư theo quy định; nếu có trên 01 nhà đầu tư quan tâm, thực hiện lựa chọn nhà đầu tư dự</w:t>
            </w:r>
            <w:r w:rsidR="00BE380F" w:rsidRPr="00BE380F">
              <w:rPr>
                <w:rFonts w:ascii="Calibri Light" w:eastAsia="Times New Roman" w:hAnsi="Calibri Light" w:cs="Times New Roman"/>
                <w:sz w:val="16"/>
                <w:szCs w:val="20"/>
              </w:rPr>
              <w:t xml:space="preserve"> án</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br/>
              <w:t>Được miễn tiền thuê đất 13 năm sau thời gian miễn tiền thuê đất của thời gian xây dựng cơ bản.</w:t>
            </w:r>
          </w:p>
        </w:tc>
      </w:tr>
      <w:tr w:rsidR="00BE380F" w:rsidRPr="00BE380F" w:rsidTr="002A2B95">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4</w:t>
            </w:r>
          </w:p>
        </w:tc>
        <w:tc>
          <w:tcPr>
            <w:tcW w:w="788"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Dự án sản xuất, lắp ráp xe ô tô buýt</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Xã Lộc Tiến, huyện Phú Lộc</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Khoảng 193 ha</w:t>
            </w:r>
          </w:p>
        </w:tc>
        <w:tc>
          <w:tcPr>
            <w:tcW w:w="955"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Xây dựng nhà máy đầu tư dự án sản xuất, lắp ráp xe ô tô buýt</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6"/>
                <w:szCs w:val="20"/>
              </w:rPr>
            </w:pPr>
            <w:r w:rsidRPr="00BE380F">
              <w:rPr>
                <w:rFonts w:ascii="Calibri Light" w:eastAsia="Times New Roman" w:hAnsi="Calibri Light" w:cs="Times New Roman"/>
                <w:sz w:val="16"/>
                <w:szCs w:val="20"/>
              </w:rPr>
              <w:t>Đầu tư trong nước, nước ngoài, sau 30 ngày công bố thông tin và tiêu chí lựa chọn nhà đầu tư, nếu chỉ có 01 nhà đầu tư quan tâm, thực hiện cấp Quyết định chủ trương đầu tư theo quy định; nếu có trên 01 nhà đầu tư quan tâm, thực hiện lựa chọn nhà đầu tư dự</w:t>
            </w:r>
            <w:r w:rsidR="00BE380F" w:rsidRPr="00BE380F">
              <w:rPr>
                <w:rFonts w:ascii="Calibri Light" w:eastAsia="Times New Roman" w:hAnsi="Calibri Light" w:cs="Times New Roman"/>
                <w:sz w:val="16"/>
                <w:szCs w:val="20"/>
              </w:rPr>
              <w:t xml:space="preserve"> án</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br/>
              <w:t>Được miễn tiền thuê đất 13 năm sau thời gian miễn tiền thuê đất của thời gian xây dựng cơ bản.</w:t>
            </w:r>
          </w:p>
        </w:tc>
      </w:tr>
      <w:tr w:rsidR="00BE380F" w:rsidRPr="00BE380F" w:rsidTr="002A2B95">
        <w:trPr>
          <w:trHeight w:val="1970"/>
        </w:trPr>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lastRenderedPageBreak/>
              <w:t>5</w:t>
            </w:r>
          </w:p>
        </w:tc>
        <w:tc>
          <w:tcPr>
            <w:tcW w:w="788"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Các dự án sản xuất công nghiệp tại Khu công nghiệp, Khu phi thuế quan</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Xã Lộc Tiến và Lộc Vĩnh, huyện Phú Lộc</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Khoảng 50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Xây dựng các nhà máy sản xuất, lắp ráp phụ tùng, linh kiện, phụ kiện xe ô tô, điện tử, cơ khí, chế biến, CN phụ trợ và các ngành nghề phù hợp khác</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6"/>
                <w:szCs w:val="20"/>
              </w:rPr>
            </w:pPr>
            <w:r w:rsidRPr="00BE380F">
              <w:rPr>
                <w:rFonts w:ascii="Calibri Light" w:eastAsia="Times New Roman" w:hAnsi="Calibri Light" w:cs="Times New Roman"/>
                <w:sz w:val="16"/>
                <w:szCs w:val="20"/>
              </w:rPr>
              <w:t>Đầu tư trong nước, nước ngoài, sau 30 ngày công bố thông tin và tiêu chí lựa chọn nhà đầu tư, nếu chỉ có 01 nhà đầu tư quan tâm, thực hiện cấp Quyết định chủ trương đầu tư theo quy định; nếu có trên 01 nhà đầu tư quan tâm, thực hiện lựa chọn nhà đầu tư dự án</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br/>
              <w:t>Được miễn tiền thuê đất 17 năm sau thời gian miễn tiền thuê đất của thời gian xây dựng cơ bản</w:t>
            </w:r>
          </w:p>
        </w:tc>
      </w:tr>
      <w:tr w:rsidR="00BE380F" w:rsidRPr="00BE380F" w:rsidTr="002A2B95">
        <w:trPr>
          <w:trHeight w:val="683"/>
        </w:trPr>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6</w:t>
            </w:r>
          </w:p>
        </w:tc>
        <w:tc>
          <w:tcPr>
            <w:tcW w:w="788"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Dự án đầu tư Bến tàu du lịch cảng Chân Mây và khu hậu bến cảng phục vụ khách du lịch</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Xã Lộc Vĩnh, huyện Phú Lộc</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Khoảng 130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Đầu tư xây dựng bến tiếp đón tàu du lịch, hoàn thiện cơ sở hạ tầng khu Cảng Chân Mây, đáp ứng nhu cầu lưu thông hành khách qua Cảng và khu hậu cảng phục vụ du khách.</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6"/>
                <w:szCs w:val="20"/>
              </w:rPr>
            </w:pPr>
            <w:r w:rsidRPr="00BE380F">
              <w:rPr>
                <w:rFonts w:ascii="Calibri Light" w:eastAsia="Times New Roman" w:hAnsi="Calibri Light" w:cs="Times New Roman"/>
                <w:sz w:val="16"/>
                <w:szCs w:val="20"/>
              </w:rPr>
              <w:t>Đầu tư trong nước, nước ngoài, sau 30 ngày công bố thông tin và tiêu chí lựa chọn nhà đầu tư, nếu chỉ có 01 nhà đầu tư quan tâm, thực hiện cấp Quyết định chủ trương đầu tư theo quy định; nếu có trên 01 nhà đầu tư quan tâm, thực hiện lựa chọn nhà đầu tư dự</w:t>
            </w:r>
            <w:r w:rsidR="00BE380F" w:rsidRPr="00BE380F">
              <w:rPr>
                <w:rFonts w:ascii="Calibri Light" w:eastAsia="Times New Roman" w:hAnsi="Calibri Light" w:cs="Times New Roman"/>
                <w:sz w:val="16"/>
                <w:szCs w:val="20"/>
              </w:rPr>
              <w:t xml:space="preserve"> án</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br/>
              <w:t>Được miễn tiền thuê đất 13 năm sau thời gian miễn tiền thuê đất của thời gian xây dựng cơ bản.</w:t>
            </w:r>
          </w:p>
        </w:tc>
      </w:tr>
      <w:tr w:rsidR="00BE380F" w:rsidRPr="00BE380F" w:rsidTr="00BE380F">
        <w:trPr>
          <w:trHeight w:val="1907"/>
        </w:trPr>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7</w:t>
            </w:r>
          </w:p>
        </w:tc>
        <w:tc>
          <w:tcPr>
            <w:tcW w:w="788"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Dự án Nhà máy điện mặt trời Phú Lộc</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Xã Lộc Thủy, Khu kinh tế Chân Mây - Lăng Cô</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Khoảng 62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Đầu tư nhà máy sản xuất điện từ năng lượng mặt trời</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6"/>
                <w:szCs w:val="20"/>
              </w:rPr>
            </w:pPr>
            <w:r w:rsidRPr="00BE380F">
              <w:rPr>
                <w:rFonts w:ascii="Calibri Light" w:eastAsia="Times New Roman" w:hAnsi="Calibri Light" w:cs="Times New Roman"/>
                <w:sz w:val="16"/>
                <w:szCs w:val="20"/>
              </w:rPr>
              <w:t>Đầu tư trong nước, nước ngoài, sau 30 ngày công bố thông tin và tiêu chí lựa chọn nhà đầu tư, nếu chỉ có 01 nhà đầu tư quan tâm, thực hiện cấp Quyết định chủ trương đầu tư theo quy định; nếu có trên 01 nhà đầu tư quan tâm, thực hiện lựa chọn nhà đầu tư dự</w:t>
            </w:r>
            <w:r w:rsidR="00BE380F" w:rsidRPr="00BE380F">
              <w:rPr>
                <w:rFonts w:ascii="Calibri Light" w:eastAsia="Times New Roman" w:hAnsi="Calibri Light" w:cs="Times New Roman"/>
                <w:sz w:val="16"/>
                <w:szCs w:val="20"/>
              </w:rPr>
              <w:t xml:space="preserve"> án</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br/>
              <w:t>Được miễn tiền thuê đất, thuê mặt nước cho toàn bộ thời hạn thuê</w:t>
            </w:r>
          </w:p>
        </w:tc>
      </w:tr>
      <w:tr w:rsidR="00BE380F" w:rsidRPr="00BE380F" w:rsidTr="00BE380F">
        <w:trPr>
          <w:trHeight w:val="1430"/>
        </w:trPr>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8</w:t>
            </w:r>
          </w:p>
        </w:tc>
        <w:tc>
          <w:tcPr>
            <w:tcW w:w="788"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Dự án Khu đô thị Chân Mây (vị trí 1)</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Xã Lộc Vĩnh, Khu kinh tế Chân Mây - Lăng Cô</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Khoảng 35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Xây dựng Khu đô thị kết hợp thương mại dịch vụ</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Nhà nước không tham gia góp vốn đầu tư, đấu thầu lựa chọn nhà đầu tư theo quy định của pháp luật đấu thầu.</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 </w:t>
            </w:r>
          </w:p>
        </w:tc>
      </w:tr>
      <w:tr w:rsidR="00BE380F" w:rsidRPr="00BE380F" w:rsidTr="00BE380F">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9</w:t>
            </w:r>
          </w:p>
        </w:tc>
        <w:tc>
          <w:tcPr>
            <w:tcW w:w="788"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Dự án Khu đô thị Chân Mây (vị trí 2)</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Xã Lộc Thủy, Lộc Tiến, Khu kinh tế Chân Mây - Lăng Cô</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Khoảng 43,2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Xây dựng Khu đô thị kết hợp thương mại dịch vụ</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Nhà nước không tham gia góp vốn đầu tư, đấu thầu lựa chọn nhà đầu tư theo quy định của pháp luật đấu thầu.</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 </w:t>
            </w:r>
          </w:p>
        </w:tc>
      </w:tr>
      <w:tr w:rsidR="00BE380F" w:rsidRPr="00BE380F" w:rsidTr="00BE380F">
        <w:trPr>
          <w:trHeight w:val="1430"/>
        </w:trPr>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10</w:t>
            </w:r>
          </w:p>
        </w:tc>
        <w:tc>
          <w:tcPr>
            <w:tcW w:w="788"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Dự án Khu đô thị Chân Mây (vị trí 3)</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Xã Lộc Thủy, Lộc Tiến, Khu kinh tế Chân Mây - Lăng Cô</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Khoảng 86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Xây dựng Khu đô thị kết hợp thương mại dịch vụ</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Nhà nước không tham gia góp vốn đầu tư, đấu thầu lựa chọn nhà đầu tư theo quy định của pháp luật đấu thầu.</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 </w:t>
            </w:r>
          </w:p>
        </w:tc>
      </w:tr>
      <w:tr w:rsidR="00BE380F" w:rsidRPr="00BE380F" w:rsidTr="002A2B95">
        <w:trPr>
          <w:trHeight w:val="2220"/>
        </w:trPr>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lastRenderedPageBreak/>
              <w:t>11</w:t>
            </w:r>
          </w:p>
        </w:tc>
        <w:tc>
          <w:tcPr>
            <w:tcW w:w="788"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Dự án Khu đô thị Chân Mây (vị trí 4)</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Xã Lộc Thủy, Lộc Tiến, Khu kinh tế Chân Mây - Lăng Cô</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Khoảng 71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Xây dựng Khu đô thị kết hợp thương mại dịch vụ</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Nhà nước không tham gia góp vốn đầu tư, đấu thầu lựa chọn nhà đầu tư theo quy định của pháp luật đấu thầu.</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 </w:t>
            </w:r>
          </w:p>
        </w:tc>
      </w:tr>
      <w:tr w:rsidR="00BE380F" w:rsidRPr="00BE380F" w:rsidTr="00BE380F">
        <w:trPr>
          <w:trHeight w:val="1448"/>
        </w:trPr>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12</w:t>
            </w:r>
          </w:p>
        </w:tc>
        <w:tc>
          <w:tcPr>
            <w:tcW w:w="788"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Dự án Khu đô thị Chân Mây (vị trí 5)</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Xã Lộc Thủy, Khu kinh tế Chân Mây - Lăng Cô</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Khoảng 26,27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Xây dựng Khu đô thị kết hợp thương mại dịch vụ</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Nhà nước không tham gia góp vốn đầu tư, đấu thầu lựa chọn nhà đầu tư theo quy định của pháp luật đấu thầu.</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 </w:t>
            </w:r>
          </w:p>
        </w:tc>
      </w:tr>
      <w:tr w:rsidR="00BE380F" w:rsidRPr="00BE380F" w:rsidTr="00BE380F">
        <w:trPr>
          <w:trHeight w:val="1529"/>
        </w:trPr>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13</w:t>
            </w:r>
          </w:p>
        </w:tc>
        <w:tc>
          <w:tcPr>
            <w:tcW w:w="788"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Dự án Khu đô thị Chân Mây (vị trí 6)</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Xã Lộc Thủy, Khu kinh tế Chân Mây - Lăng Cô</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Khoảng 68,8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Xây dựng Khu đô thị kết hợp thương mại dịch vụ</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Nhà nước không tham gia góp vốn đầu tư, đấu thầu lựa chọn nhà đầu tư theo quy định của pháp luật đấu thầu.</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 </w:t>
            </w:r>
          </w:p>
        </w:tc>
      </w:tr>
      <w:tr w:rsidR="00BE380F" w:rsidRPr="00BE380F" w:rsidTr="00BE380F">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14</w:t>
            </w:r>
          </w:p>
        </w:tc>
        <w:tc>
          <w:tcPr>
            <w:tcW w:w="788"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Dự án Khu đô thị Chân Mây (vị trí 7)</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Xã Lộc Thủy, Khu kinh tế Chân Mây - Lăng Cô</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Khoảng 44,6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Xây dựng Khu đô thị kết hợp thương mại dịch vụ</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Nhà nước không tham gia góp vốn đầu tư, đấu thầu lựa chọn nhà đầu tư theo quy định của pháp luật đấu thầu.</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 </w:t>
            </w:r>
          </w:p>
        </w:tc>
      </w:tr>
      <w:tr w:rsidR="00BE380F" w:rsidRPr="00BE380F" w:rsidTr="00BE380F">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15</w:t>
            </w:r>
          </w:p>
        </w:tc>
        <w:tc>
          <w:tcPr>
            <w:tcW w:w="788"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Khu du lịch giải trí, thể thao kết hợp du lịch nghỉ dưỡng Hói Cạn</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Hói Cạn, thị trấn Lăng Cô</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Khoảng 45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Xây dựng khu du lịch sinh thái nghỉ dưỡng</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6"/>
                <w:szCs w:val="20"/>
              </w:rPr>
            </w:pPr>
            <w:r w:rsidRPr="00BE380F">
              <w:rPr>
                <w:rFonts w:ascii="Calibri Light" w:eastAsia="Times New Roman" w:hAnsi="Calibri Light" w:cs="Times New Roman"/>
                <w:sz w:val="16"/>
                <w:szCs w:val="20"/>
              </w:rPr>
              <w:t>Đầu tư trong nước</w:t>
            </w:r>
            <w:r w:rsidRPr="00BE380F">
              <w:rPr>
                <w:rFonts w:ascii="Calibri Light" w:eastAsia="Times New Roman" w:hAnsi="Calibri Light" w:cs="Times New Roman"/>
                <w:sz w:val="16"/>
                <w:szCs w:val="20"/>
              </w:rPr>
              <w:br/>
              <w:t xml:space="preserve"> hoặc nước ngoài, sau 30 ngày công bố thông tin và tiêu chí lựa chọn nhà đầu tư, nếu chỉ có 01 nhà đầu tư quan tâm, thực hiện cấp Quyết định chủ trương đầu tư theo quy định; nếu có trên 01 nhà đầu tư quan tâm, thực hiện lựa chọn nhà đầu tư </w:t>
            </w:r>
            <w:r w:rsidR="00BE380F" w:rsidRPr="00BE380F">
              <w:rPr>
                <w:rFonts w:ascii="Calibri Light" w:eastAsia="Times New Roman" w:hAnsi="Calibri Light" w:cs="Times New Roman"/>
                <w:sz w:val="16"/>
                <w:szCs w:val="20"/>
              </w:rPr>
              <w:t>án</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br/>
              <w:t>Được miễn tiền thuê đất 13 năm sau thời gian miễn tiền thuê đất của thời gian xây dựng cơ bản.</w:t>
            </w:r>
          </w:p>
        </w:tc>
      </w:tr>
      <w:tr w:rsidR="00BE380F" w:rsidRPr="00BE380F" w:rsidTr="00BE380F">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16</w:t>
            </w:r>
          </w:p>
        </w:tc>
        <w:tc>
          <w:tcPr>
            <w:tcW w:w="788" w:type="pct"/>
            <w:shd w:val="clear" w:color="auto" w:fill="auto"/>
            <w:vAlign w:val="center"/>
            <w:hideMark/>
          </w:tcPr>
          <w:p w:rsidR="00601A5B" w:rsidRPr="00BE380F" w:rsidRDefault="00601A5B" w:rsidP="00013A09">
            <w:pPr>
              <w:spacing w:after="0" w:line="240" w:lineRule="auto"/>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Dự án đầu tư xây dựng và kinh doanh kết cấu hạ tầng Khu công nghiệp và khu phi thuế quan Chân Mây</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Khu kinh tế Chân Mây –</w:t>
            </w:r>
            <w:r w:rsidRPr="00BE380F">
              <w:rPr>
                <w:rFonts w:ascii="Calibri Light" w:eastAsia="Times New Roman" w:hAnsi="Calibri Light" w:cs="Times New Roman"/>
                <w:sz w:val="20"/>
                <w:szCs w:val="20"/>
              </w:rPr>
              <w:br/>
              <w:t xml:space="preserve"> Lăng Cô</w:t>
            </w:r>
          </w:p>
        </w:tc>
        <w:tc>
          <w:tcPr>
            <w:tcW w:w="575" w:type="pct"/>
            <w:shd w:val="clear" w:color="auto" w:fill="auto"/>
            <w:noWrap/>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400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Đầu tư XD và KD hệ thống kết cấu hạ tầng kỹ thuật theo hướng</w:t>
            </w:r>
            <w:r w:rsidRPr="00BE380F">
              <w:rPr>
                <w:rFonts w:ascii="Calibri Light" w:eastAsia="Times New Roman" w:hAnsi="Calibri Light" w:cs="Times New Roman"/>
                <w:sz w:val="20"/>
                <w:szCs w:val="20"/>
              </w:rPr>
              <w:br/>
              <w:t xml:space="preserve"> quy mô, đồng bộ, hoàn chỉnh và hiện đại</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Đầu tư trong nước</w:t>
            </w:r>
            <w:r w:rsidRPr="00BE380F">
              <w:rPr>
                <w:rFonts w:ascii="Calibri Light" w:eastAsia="Times New Roman" w:hAnsi="Calibri Light" w:cs="Times New Roman"/>
                <w:sz w:val="20"/>
                <w:szCs w:val="20"/>
              </w:rPr>
              <w:br/>
              <w:t xml:space="preserve"> hoặc nước ngoài, cấp Quyết định chủ trương đầu tư thuộc thầm quyền của Thủ tướng</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br/>
              <w:t>Miễn tiền thuê đất, thuê mặt nước cho toàn bộ thời hạn thuê</w:t>
            </w:r>
          </w:p>
        </w:tc>
      </w:tr>
      <w:tr w:rsidR="00BE380F" w:rsidRPr="00BE380F" w:rsidTr="00BE380F">
        <w:trPr>
          <w:trHeight w:val="2420"/>
        </w:trPr>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lastRenderedPageBreak/>
              <w:t>17</w:t>
            </w:r>
          </w:p>
        </w:tc>
        <w:tc>
          <w:tcPr>
            <w:tcW w:w="788"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Đầu tư xây dựng các bến cảng số 4, 5, 6 Cảng Chân Mây</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Khu kinh tế Chân Mây - Lăng Cô</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60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Hoàn thiện cơ sở hạ tầng khu Cảng Chân Mây, đáp ứng nhu cầu lưu thông hàng hóa và hành khách qua Cảng'</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6"/>
                <w:szCs w:val="20"/>
              </w:rPr>
            </w:pPr>
            <w:r w:rsidRPr="00BE380F">
              <w:rPr>
                <w:rFonts w:ascii="Calibri Light" w:eastAsia="Times New Roman" w:hAnsi="Calibri Light" w:cs="Times New Roman"/>
                <w:sz w:val="16"/>
                <w:szCs w:val="20"/>
              </w:rPr>
              <w:t xml:space="preserve">Đầu tư trong nước </w:t>
            </w:r>
            <w:r w:rsidRPr="00BE380F">
              <w:rPr>
                <w:rFonts w:ascii="Calibri Light" w:eastAsia="Times New Roman" w:hAnsi="Calibri Light" w:cs="Times New Roman"/>
                <w:sz w:val="16"/>
                <w:szCs w:val="20"/>
              </w:rPr>
              <w:br/>
              <w:t>hoặc nước ngoài,  sau 30 ngày công bố thông tin và tiêu chí lựa chọn nhà đầu tư, nếu chỉ có 01 nhà đầu tư quan tâm, thực hiện cấp Quyết định chủ trương đầu tư theo quy định; nếu có trên 01 nhà đầu tư quan tâm, thực hiện lựa chọn nhà đầu tư dự</w:t>
            </w:r>
            <w:r w:rsidR="00BE380F" w:rsidRPr="00BE380F">
              <w:rPr>
                <w:rFonts w:ascii="Calibri Light" w:eastAsia="Times New Roman" w:hAnsi="Calibri Light" w:cs="Times New Roman"/>
                <w:sz w:val="16"/>
                <w:szCs w:val="20"/>
              </w:rPr>
              <w:t xml:space="preserve"> án</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br/>
              <w:t>Được miễn tiền thuê đất 13 năm sau thời gian miễn tiền thuê đất của thời gian xây dựng cơ bản.</w:t>
            </w:r>
          </w:p>
        </w:tc>
      </w:tr>
      <w:tr w:rsidR="00BE380F" w:rsidRPr="00BE380F" w:rsidTr="00BE380F">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18</w:t>
            </w:r>
          </w:p>
        </w:tc>
        <w:tc>
          <w:tcPr>
            <w:tcW w:w="788"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Dự án đầu tư Khu hậu cảng, dịch vụ logistic thuộc khu cảng Chân Mây</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Khu kinh tế Chân Mây - Lăng Cô</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47 ha</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Hình thành trung tâm tiếp nhận, bảo quản, phân phối hàng hóa, kết nối giữa các cơ sở kinh tế với hệ thống giao thông cảng biển.</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6"/>
                <w:szCs w:val="20"/>
              </w:rPr>
            </w:pPr>
            <w:r w:rsidRPr="00BE380F">
              <w:rPr>
                <w:rFonts w:ascii="Calibri Light" w:eastAsia="Times New Roman" w:hAnsi="Calibri Light" w:cs="Times New Roman"/>
                <w:sz w:val="16"/>
                <w:szCs w:val="20"/>
              </w:rPr>
              <w:t xml:space="preserve">Đầu tư trong nước </w:t>
            </w:r>
            <w:r w:rsidRPr="00BE380F">
              <w:rPr>
                <w:rFonts w:ascii="Calibri Light" w:eastAsia="Times New Roman" w:hAnsi="Calibri Light" w:cs="Times New Roman"/>
                <w:sz w:val="16"/>
                <w:szCs w:val="20"/>
              </w:rPr>
              <w:br/>
              <w:t>hoặc nước ngoài,  sau 30 ngày công bố thông tin và tiêu chí lựa chọn nhà đầu tư, nếu chỉ có 01 nhà đầu tư quan tâm, thực hiện cấp Quyết định chủ trương đầu tư theo quy định; nếu có trên 01 nhà đầu tư quan tâm, thực hiện lựa chọn nhà đầu tư dự</w:t>
            </w:r>
            <w:r w:rsidR="00BE380F" w:rsidRPr="00BE380F">
              <w:rPr>
                <w:rFonts w:ascii="Calibri Light" w:eastAsia="Times New Roman" w:hAnsi="Calibri Light" w:cs="Times New Roman"/>
                <w:sz w:val="16"/>
                <w:szCs w:val="20"/>
              </w:rPr>
              <w:t xml:space="preserve"> án</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br/>
              <w:t>Được miễn tiền thuê đất 15 năm sau thời gian miễn tiền thuê đất của thời gian xây dựng cơ bản.</w:t>
            </w:r>
          </w:p>
        </w:tc>
      </w:tr>
      <w:tr w:rsidR="00BE380F" w:rsidRPr="00BE380F" w:rsidTr="00BE380F">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19</w:t>
            </w:r>
          </w:p>
        </w:tc>
        <w:tc>
          <w:tcPr>
            <w:tcW w:w="788"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 xml:space="preserve">Dự án đầu tư nhà máy sản xuất sản phẩm nguyên phụ liệu ngành may (sản xuất kim, chỉ, nút, băng chun, khóa </w:t>
            </w:r>
            <w:proofErr w:type="gramStart"/>
            <w:r w:rsidRPr="00BE380F">
              <w:rPr>
                <w:rFonts w:ascii="Calibri Light" w:eastAsia="Times New Roman" w:hAnsi="Calibri Light" w:cs="Times New Roman"/>
                <w:sz w:val="20"/>
                <w:szCs w:val="20"/>
              </w:rPr>
              <w:t>kéo,..</w:t>
            </w:r>
            <w:proofErr w:type="gramEnd"/>
            <w:r w:rsidRPr="00BE380F">
              <w:rPr>
                <w:rFonts w:ascii="Calibri Light" w:eastAsia="Times New Roman" w:hAnsi="Calibri Light" w:cs="Times New Roman"/>
                <w:sz w:val="20"/>
                <w:szCs w:val="20"/>
              </w:rPr>
              <w:t xml:space="preserve">). </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Khu công nghiệp hỗ trợ dệt may – Khu công nghiệp Phong Điền</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Không hạn chế quy mô</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 Hình thành Khu công nghiệp hỗ trợ ngành dệt may tại KCN Phong Điền, tỉnh TT-Huế.</w:t>
            </w:r>
            <w:r w:rsidRPr="00BE380F">
              <w:rPr>
                <w:rFonts w:ascii="Calibri Light" w:eastAsia="Times New Roman" w:hAnsi="Calibri Light" w:cs="Times New Roman"/>
                <w:sz w:val="20"/>
                <w:szCs w:val="20"/>
              </w:rPr>
              <w:br/>
              <w:t>- Đáp ứng nguồn nguyên vật liệu đầu vào phục vụ phát triển ngành Dệt may tỉnh TT-Huế.</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6"/>
                <w:szCs w:val="20"/>
              </w:rPr>
            </w:pPr>
            <w:r w:rsidRPr="00BE380F">
              <w:rPr>
                <w:rFonts w:ascii="Calibri Light" w:eastAsia="Times New Roman" w:hAnsi="Calibri Light" w:cs="Times New Roman"/>
                <w:sz w:val="16"/>
                <w:szCs w:val="20"/>
              </w:rPr>
              <w:t xml:space="preserve">Đầu tư trong nước </w:t>
            </w:r>
            <w:r w:rsidRPr="00BE380F">
              <w:rPr>
                <w:rFonts w:ascii="Calibri Light" w:eastAsia="Times New Roman" w:hAnsi="Calibri Light" w:cs="Times New Roman"/>
                <w:sz w:val="16"/>
                <w:szCs w:val="20"/>
              </w:rPr>
              <w:br/>
              <w:t>hoặc nước ngoài,  sau 30 ngày công bố thông tin và tiêu chí lựa chọn nhà đầu tư, nếu chỉ có 01 nhà đầu tư quan tâm, thực hiện cấp Quyết định chủ trương đầu tư theo quy định; nếu có trên 01 nhà đầu tư quan tâm, thực hiện lựa chọn nhà đầu tư dự án</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 </w:t>
            </w:r>
          </w:p>
        </w:tc>
      </w:tr>
      <w:tr w:rsidR="00BE380F" w:rsidRPr="00BE380F" w:rsidTr="00BE380F">
        <w:tc>
          <w:tcPr>
            <w:tcW w:w="283" w:type="pct"/>
            <w:shd w:val="clear" w:color="auto" w:fill="auto"/>
            <w:vAlign w:val="center"/>
            <w:hideMark/>
          </w:tcPr>
          <w:p w:rsidR="00601A5B" w:rsidRPr="00BE380F" w:rsidRDefault="002A2B95"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20</w:t>
            </w:r>
          </w:p>
        </w:tc>
        <w:tc>
          <w:tcPr>
            <w:tcW w:w="788"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Nhà máy sản xuất thiết bị y tế</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Các khu công nghiệp, khu kinh tế.</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Không hạn chế quy mô</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Sản xuất và cung cấp thiết bị y tế phục vụ nhu cầu trong nước và xuất khẩu</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6"/>
                <w:szCs w:val="20"/>
              </w:rPr>
            </w:pPr>
            <w:r w:rsidRPr="00BE380F">
              <w:rPr>
                <w:rFonts w:ascii="Calibri Light" w:eastAsia="Times New Roman" w:hAnsi="Calibri Light" w:cs="Times New Roman"/>
                <w:sz w:val="16"/>
                <w:szCs w:val="20"/>
              </w:rPr>
              <w:t xml:space="preserve">Đầu tư trong nước </w:t>
            </w:r>
            <w:r w:rsidRPr="00BE380F">
              <w:rPr>
                <w:rFonts w:ascii="Calibri Light" w:eastAsia="Times New Roman" w:hAnsi="Calibri Light" w:cs="Times New Roman"/>
                <w:sz w:val="16"/>
                <w:szCs w:val="20"/>
              </w:rPr>
              <w:br/>
              <w:t>hoặc nước ngoài,  sau 30 ngày công bố thông tin và tiêu chí lựa chọn nhà đầu tư, nếu chỉ có 01 nhà đầu tư quan tâm, thực hiện cấp Quyết định chủ trương đầu tư theo quy định; nếu có trên 01 nhà đầu tư quan tâm, thực hiện lựa chọn nhà đầu tư dự</w:t>
            </w:r>
            <w:r w:rsidR="00BE380F" w:rsidRPr="00BE380F">
              <w:rPr>
                <w:rFonts w:ascii="Calibri Light" w:eastAsia="Times New Roman" w:hAnsi="Calibri Light" w:cs="Times New Roman"/>
                <w:sz w:val="16"/>
                <w:szCs w:val="20"/>
              </w:rPr>
              <w:t xml:space="preserve"> án</w:t>
            </w:r>
          </w:p>
        </w:tc>
        <w:tc>
          <w:tcPr>
            <w:tcW w:w="859" w:type="pct"/>
            <w:shd w:val="clear" w:color="auto" w:fill="auto"/>
            <w:vAlign w:val="center"/>
            <w:hideMark/>
          </w:tcPr>
          <w:p w:rsidR="00601A5B" w:rsidRPr="00BE380F" w:rsidRDefault="00601A5B" w:rsidP="00BE380F">
            <w:pPr>
              <w:spacing w:after="0" w:line="240" w:lineRule="auto"/>
              <w:rPr>
                <w:rFonts w:ascii="Calibri Light" w:eastAsia="Times New Roman" w:hAnsi="Calibri Light" w:cs="Times New Roman"/>
                <w:sz w:val="18"/>
                <w:szCs w:val="20"/>
              </w:rPr>
            </w:pPr>
            <w:r w:rsidRPr="00BE380F">
              <w:rPr>
                <w:rFonts w:ascii="Calibri Light" w:eastAsia="Times New Roman" w:hAnsi="Calibri Light" w:cs="Times New Roman"/>
                <w:sz w:val="18"/>
                <w:szCs w:val="20"/>
              </w:rPr>
              <w:br/>
              <w:t xml:space="preserve">Được miễn tiền thuê đất 11 năm sau thời gian miễn tiền thuê đất của thời gian xây dựng cơ bản (trường hợp đầu tư vào diện tích đất KCN chưa có nhà đầu tư hạ tầng). </w:t>
            </w:r>
          </w:p>
        </w:tc>
      </w:tr>
      <w:tr w:rsidR="00BE380F" w:rsidRPr="00BE380F" w:rsidTr="00BE380F">
        <w:tc>
          <w:tcPr>
            <w:tcW w:w="283" w:type="pct"/>
            <w:shd w:val="clear" w:color="auto" w:fill="auto"/>
            <w:vAlign w:val="center"/>
            <w:hideMark/>
          </w:tcPr>
          <w:p w:rsidR="00601A5B" w:rsidRPr="00BE380F" w:rsidRDefault="00BE380F"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21</w:t>
            </w:r>
          </w:p>
        </w:tc>
        <w:tc>
          <w:tcPr>
            <w:tcW w:w="788"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Nhà máy chiết xuất dược liệu, hương liệu thiên nhiên</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Các khu công nghiệp, khu kinh tế</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Không hạn chế quy mô</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Làm nguyên liệu sản xuất phục vụ nhu cầu trong nước và xuất khẩu</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6"/>
                <w:szCs w:val="20"/>
              </w:rPr>
            </w:pPr>
            <w:r w:rsidRPr="00BE380F">
              <w:rPr>
                <w:rFonts w:ascii="Calibri Light" w:eastAsia="Times New Roman" w:hAnsi="Calibri Light" w:cs="Times New Roman"/>
                <w:sz w:val="16"/>
                <w:szCs w:val="20"/>
              </w:rPr>
              <w:t xml:space="preserve">Đầu tư trong nước </w:t>
            </w:r>
            <w:r w:rsidRPr="00BE380F">
              <w:rPr>
                <w:rFonts w:ascii="Calibri Light" w:eastAsia="Times New Roman" w:hAnsi="Calibri Light" w:cs="Times New Roman"/>
                <w:sz w:val="16"/>
                <w:szCs w:val="20"/>
              </w:rPr>
              <w:br/>
              <w:t>hoặc nước ngoài,  sau 30 ngày công bố thông tin và tiêu chí lựa chọn nhà đầu tư, nếu chỉ có 01 nhà đầu tư quan tâm, thực hiện cấp Quyết định chủ trương đầu tư theo quy định; nếu có trên 01 nhà đầu tư quan tâm, thực hiện lựa chọn nhà đầu tư dự</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8"/>
                <w:szCs w:val="20"/>
              </w:rPr>
            </w:pPr>
            <w:r w:rsidRPr="00BE380F">
              <w:rPr>
                <w:rFonts w:ascii="Calibri Light" w:eastAsia="Times New Roman" w:hAnsi="Calibri Light" w:cs="Times New Roman"/>
                <w:sz w:val="18"/>
                <w:szCs w:val="20"/>
              </w:rPr>
              <w:br/>
              <w:t xml:space="preserve">Được miễn tiền thuê đất 11 năm sau thời gian miễn tiền thuê đất của thời gian xây dựng cơ bản (trường hợp đầu tư vào diện tích đất KCN chưa có nhà đầu tư hạ tầng). </w:t>
            </w:r>
          </w:p>
        </w:tc>
      </w:tr>
      <w:tr w:rsidR="00BE380F" w:rsidRPr="00BE380F" w:rsidTr="00BE380F">
        <w:tc>
          <w:tcPr>
            <w:tcW w:w="283" w:type="pct"/>
            <w:shd w:val="clear" w:color="auto" w:fill="auto"/>
            <w:vAlign w:val="center"/>
            <w:hideMark/>
          </w:tcPr>
          <w:p w:rsidR="00601A5B" w:rsidRPr="00BE380F" w:rsidRDefault="00BE380F"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lastRenderedPageBreak/>
              <w:t>22</w:t>
            </w:r>
          </w:p>
        </w:tc>
        <w:tc>
          <w:tcPr>
            <w:tcW w:w="788"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Nhà máy sản xuất nước giải khát</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Các khu công nghiệp, khu kinh tế</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Không hạn chế quy mô</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Đáp ứng nhu cầu tiêu thụ nội địa và xuất khẩu</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6"/>
                <w:szCs w:val="20"/>
              </w:rPr>
            </w:pPr>
            <w:r w:rsidRPr="00BE380F">
              <w:rPr>
                <w:rFonts w:ascii="Calibri Light" w:eastAsia="Times New Roman" w:hAnsi="Calibri Light" w:cs="Times New Roman"/>
                <w:sz w:val="16"/>
                <w:szCs w:val="20"/>
              </w:rPr>
              <w:t xml:space="preserve">Đầu tư trong nước </w:t>
            </w:r>
            <w:r w:rsidRPr="00BE380F">
              <w:rPr>
                <w:rFonts w:ascii="Calibri Light" w:eastAsia="Times New Roman" w:hAnsi="Calibri Light" w:cs="Times New Roman"/>
                <w:sz w:val="16"/>
                <w:szCs w:val="20"/>
              </w:rPr>
              <w:br/>
              <w:t>hoặc nước ngoài,  sau 30 ngày công bố thông tin và tiêu chí lựa chọn nhà đầu tư, nếu chỉ có 01 nhà đầu tư quan tâm, thực hiện cấp Quyết định chủ trương đầu tư theo quy định; nếu có trên 01 nhà đầu tư quan tâm, thực hiện lựa chọn nhà đầu tư dự</w:t>
            </w:r>
            <w:r w:rsidR="00BE380F" w:rsidRPr="00BE380F">
              <w:rPr>
                <w:rFonts w:ascii="Calibri Light" w:eastAsia="Times New Roman" w:hAnsi="Calibri Light" w:cs="Times New Roman"/>
                <w:sz w:val="16"/>
                <w:szCs w:val="20"/>
              </w:rPr>
              <w:t xml:space="preserve"> án</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8"/>
                <w:szCs w:val="20"/>
              </w:rPr>
            </w:pPr>
            <w:r w:rsidRPr="00BE380F">
              <w:rPr>
                <w:rFonts w:ascii="Calibri Light" w:eastAsia="Times New Roman" w:hAnsi="Calibri Light" w:cs="Times New Roman"/>
                <w:sz w:val="18"/>
                <w:szCs w:val="20"/>
              </w:rPr>
              <w:br/>
              <w:t xml:space="preserve">Được miễn tiền thuê đất 11 năm sau thời gian miễn tiền thuê đất của thời gian xây dựng cơ bản (trường hợp đầu tư vào diện tích đất KCN chưa có nhà đầu tư hạ tầng). </w:t>
            </w:r>
          </w:p>
        </w:tc>
      </w:tr>
      <w:tr w:rsidR="00BE380F" w:rsidRPr="00BE380F" w:rsidTr="00BE380F">
        <w:tc>
          <w:tcPr>
            <w:tcW w:w="283" w:type="pct"/>
            <w:shd w:val="clear" w:color="auto" w:fill="auto"/>
            <w:vAlign w:val="center"/>
            <w:hideMark/>
          </w:tcPr>
          <w:p w:rsidR="00601A5B" w:rsidRPr="00BE380F" w:rsidRDefault="00BE380F"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23</w:t>
            </w:r>
          </w:p>
        </w:tc>
        <w:tc>
          <w:tcPr>
            <w:tcW w:w="788"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Nhà máy sản xuất lắp ráp máy tính</w:t>
            </w:r>
          </w:p>
        </w:tc>
        <w:tc>
          <w:tcPr>
            <w:tcW w:w="621" w:type="pct"/>
            <w:shd w:val="clear" w:color="auto" w:fill="auto"/>
            <w:vAlign w:val="center"/>
            <w:hideMark/>
          </w:tcPr>
          <w:p w:rsidR="00601A5B" w:rsidRPr="00BE380F" w:rsidRDefault="00601A5B" w:rsidP="00013A09">
            <w:pPr>
              <w:spacing w:after="0" w:line="240" w:lineRule="auto"/>
              <w:jc w:val="both"/>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Các khu công nghiệp, khu kinh tế</w:t>
            </w:r>
          </w:p>
        </w:tc>
        <w:tc>
          <w:tcPr>
            <w:tcW w:w="57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Không hạn chế quy mô</w:t>
            </w:r>
          </w:p>
        </w:tc>
        <w:tc>
          <w:tcPr>
            <w:tcW w:w="955"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20"/>
                <w:szCs w:val="20"/>
              </w:rPr>
            </w:pPr>
            <w:r w:rsidRPr="00BE380F">
              <w:rPr>
                <w:rFonts w:ascii="Calibri Light" w:eastAsia="Times New Roman" w:hAnsi="Calibri Light" w:cs="Times New Roman"/>
                <w:sz w:val="20"/>
                <w:szCs w:val="20"/>
              </w:rPr>
              <w:t>Đáp ứng nhu cầu tiêu thụ nội địa và xuất khẩu</w:t>
            </w:r>
          </w:p>
        </w:tc>
        <w:tc>
          <w:tcPr>
            <w:tcW w:w="91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6"/>
                <w:szCs w:val="20"/>
              </w:rPr>
            </w:pPr>
            <w:r w:rsidRPr="00BE380F">
              <w:rPr>
                <w:rFonts w:ascii="Calibri Light" w:eastAsia="Times New Roman" w:hAnsi="Calibri Light" w:cs="Times New Roman"/>
                <w:sz w:val="16"/>
                <w:szCs w:val="20"/>
              </w:rPr>
              <w:t xml:space="preserve">Đầu tư trong nước </w:t>
            </w:r>
            <w:r w:rsidRPr="00BE380F">
              <w:rPr>
                <w:rFonts w:ascii="Calibri Light" w:eastAsia="Times New Roman" w:hAnsi="Calibri Light" w:cs="Times New Roman"/>
                <w:sz w:val="16"/>
                <w:szCs w:val="20"/>
              </w:rPr>
              <w:br/>
              <w:t>hoặc nước ngoài,  sau 30 ngày công bố thông tin và tiêu chí lựa chọn nhà đầu tư, nếu chỉ có 01 nhà đầu tư quan tâm, thực hiện cấp Quyết định chủ trương đầu tư theo quy định; nếu có trên 01 nhà đầu tư quan tâm, thực hiện lựa chọn nhà đầu tư dự</w:t>
            </w:r>
            <w:r w:rsidR="00BE380F" w:rsidRPr="00BE380F">
              <w:rPr>
                <w:rFonts w:ascii="Calibri Light" w:eastAsia="Times New Roman" w:hAnsi="Calibri Light" w:cs="Times New Roman"/>
                <w:sz w:val="16"/>
                <w:szCs w:val="20"/>
              </w:rPr>
              <w:t xml:space="preserve"> án</w:t>
            </w:r>
          </w:p>
        </w:tc>
        <w:tc>
          <w:tcPr>
            <w:tcW w:w="859" w:type="pct"/>
            <w:shd w:val="clear" w:color="auto" w:fill="auto"/>
            <w:vAlign w:val="center"/>
            <w:hideMark/>
          </w:tcPr>
          <w:p w:rsidR="00601A5B" w:rsidRPr="00BE380F" w:rsidRDefault="00601A5B" w:rsidP="00013A09">
            <w:pPr>
              <w:spacing w:after="0" w:line="240" w:lineRule="auto"/>
              <w:jc w:val="center"/>
              <w:rPr>
                <w:rFonts w:ascii="Calibri Light" w:eastAsia="Times New Roman" w:hAnsi="Calibri Light" w:cs="Times New Roman"/>
                <w:sz w:val="18"/>
                <w:szCs w:val="20"/>
              </w:rPr>
            </w:pPr>
            <w:r w:rsidRPr="00BE380F">
              <w:rPr>
                <w:rFonts w:ascii="Calibri Light" w:eastAsia="Times New Roman" w:hAnsi="Calibri Light" w:cs="Times New Roman"/>
                <w:sz w:val="18"/>
                <w:szCs w:val="20"/>
              </w:rPr>
              <w:br/>
              <w:t xml:space="preserve">Được miễn tiền thuê đất 11 năm sau thời gian miễn tiền thuê đất của thời gian xây dựng cơ bản (trường hợp đầu tư vào diện tích đất KCN chưa có nhà đầu tư hạ tầng). </w:t>
            </w:r>
          </w:p>
        </w:tc>
      </w:tr>
    </w:tbl>
    <w:p w:rsidR="00601A5B" w:rsidRPr="00BD38B3" w:rsidRDefault="00601A5B" w:rsidP="00601A5B">
      <w:pPr>
        <w:spacing w:line="276" w:lineRule="auto"/>
        <w:jc w:val="both"/>
        <w:rPr>
          <w:rFonts w:cs="Times New Roman"/>
        </w:rPr>
      </w:pPr>
    </w:p>
    <w:p w:rsidR="00601A5B" w:rsidRPr="00A65879" w:rsidRDefault="00601A5B" w:rsidP="00A65879">
      <w:pPr>
        <w:jc w:val="both"/>
        <w:rPr>
          <w:rFonts w:ascii="Arial" w:hAnsi="Arial" w:cs="Arial"/>
          <w:color w:val="202122"/>
          <w:sz w:val="21"/>
          <w:szCs w:val="21"/>
          <w:shd w:val="clear" w:color="auto" w:fill="FFFFFF"/>
        </w:rPr>
      </w:pPr>
    </w:p>
    <w:sectPr w:rsidR="00601A5B" w:rsidRPr="00A65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A1541"/>
    <w:multiLevelType w:val="hybridMultilevel"/>
    <w:tmpl w:val="4A9CC11C"/>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 w15:restartNumberingAfterBreak="0">
    <w:nsid w:val="3F653A43"/>
    <w:multiLevelType w:val="hybridMultilevel"/>
    <w:tmpl w:val="A5B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1D"/>
    <w:rsid w:val="001B6137"/>
    <w:rsid w:val="002A2B95"/>
    <w:rsid w:val="00601A5B"/>
    <w:rsid w:val="00617AE4"/>
    <w:rsid w:val="00A0791D"/>
    <w:rsid w:val="00A65879"/>
    <w:rsid w:val="00BE380F"/>
    <w:rsid w:val="00C606E5"/>
    <w:rsid w:val="00CD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477B"/>
  <w15:chartTrackingRefBased/>
  <w15:docId w15:val="{5E08580D-F7E6-4017-BCBB-2BCEC84C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A5B"/>
    <w:pPr>
      <w:spacing w:after="100" w:afterAutospacing="1" w:line="360" w:lineRule="auto"/>
      <w:ind w:left="720"/>
      <w:contextualSpacing/>
    </w:pPr>
    <w:rPr>
      <w:rFonts w:ascii="Times New Roman"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Garrett</dc:creator>
  <cp:keywords/>
  <dc:description/>
  <cp:lastModifiedBy>Admin</cp:lastModifiedBy>
  <cp:revision>2</cp:revision>
  <dcterms:created xsi:type="dcterms:W3CDTF">2020-12-14T07:39:00Z</dcterms:created>
  <dcterms:modified xsi:type="dcterms:W3CDTF">2020-12-14T09:44:00Z</dcterms:modified>
</cp:coreProperties>
</file>